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after="120"/>
      </w:pPr>
      <w:r>
        <w:rPr>
          <w:rFonts w:ascii="Calibri" w:cs="Calibri" w:eastAsia="Calibri" w:hAnsi="Calibri"/>
          <w:b/>
          <w:bCs/>
          <w:color w:val="b8965a"/>
          <w:spacing w:val="200"/>
          <w:sz w:val="20"/>
          <w:szCs w:val="20"/>
        </w:rPr>
        <w:t xml:space="preserve">SIMPLEAML</w:t>
      </w:r>
    </w:p>
    <w:p>
      <w:pPr>
        <w:pBdr>
          <w:bottom w:val="single" w:color="b8965a" w:sz="8" w:space="6"/>
        </w:pBdr>
        <w:spacing w:before="0" w:after="160"/>
      </w:pPr>
      <w:r>
        <w:rPr>
          <w:rFonts w:ascii="Calibri" w:cs="Calibri" w:eastAsia="Calibri" w:hAnsi="Calibri"/>
          <w:b/>
          <w:bCs/>
          <w:color w:val="0f1117"/>
          <w:sz w:val="48"/>
          <w:szCs w:val="48"/>
        </w:rPr>
        <w:t xml:space="preserve">AML/CTF Policy Statement</w:t>
      </w:r>
    </w:p>
    <w:p>
      <w:pPr>
        <w:spacing w:before="120" w:after="80"/>
      </w:pPr>
      <w:r>
        <w:rPr>
          <w:rFonts w:ascii="Calibri" w:cs="Calibri" w:eastAsia="Calibri" w:hAnsi="Calibri"/>
          <w:i/>
          <w:iCs/>
          <w:color w:val="6b6459"/>
          <w:sz w:val="24"/>
          <w:szCs w:val="24"/>
        </w:rPr>
        <w:t xml:space="preserve">Anti-Money Laundering and Counter-Terrorism Financing Program</w:t>
      </w:r>
    </w:p>
    <w:p>
      <w:pPr>
        <w:spacing w:before="0" w:after="400"/>
      </w:pPr>
      <w:r>
        <w:rPr>
          <w:rFonts w:ascii="Calibri" w:cs="Calibri" w:eastAsia="Calibri" w:hAnsi="Calibri"/>
          <w:b/>
          <w:bCs/>
          <w:color w:val="b8965a"/>
          <w:sz w:val="20"/>
          <w:szCs w:val="20"/>
        </w:rPr>
        <w:t xml:space="preserve">Part A — Policy Document</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Practice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ABN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State / Territory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Conveyancing Licence No.</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Title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Approval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Version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val="false"/>
                <w:iCs w:val="false"/>
                <w:color w:val="0f1117"/>
                <w:sz w:val="19"/>
                <w:szCs w:val="19"/>
              </w:rPr>
              <w:t xml:space="preserve">1.0</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Next Review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INSTRUCTIONS: Replace all [bracketed text] with your practice's specific details. Review every section to ensure it accurately reflects how your practice operates. Delete any sections that do not apply. This template must be customised — a generic, unedited template does not constitute a compliant AML/CTF Program.</w:t>
            </w:r>
          </w:p>
        </w:tc>
      </w:tr>
    </w:tbl>
    <w:p>
      <w:pPr>
        <w:spacing w:before="0" w:after="60"/>
      </w:pPr>
      <w:r>
        <w:t xml:space="preserve"/>
      </w:r>
    </w:p>
    <w:p>
      <w:pPr>
        <w:spacing w:before="0" w:after="80"/>
      </w:pPr>
      <w:r>
        <w:rPr>
          <w:rFonts w:ascii="Calibri" w:cs="Calibri" w:eastAsia="Calibri" w:hAnsi="Calibri"/>
          <w:i/>
          <w:iCs/>
          <w:color w:val="ddd9d0"/>
          <w:sz w:val="16"/>
          <w:szCs w:val="16"/>
        </w:rPr>
        <w:t xml:space="preserve">Prepared using SimpleAML for Conveyancers — conveyancing.simpleaml.com.au</w:t>
      </w:r>
    </w:p>
    <w:p>
      <w:pPr>
        <w:spacing w:before="0" w:after="80"/>
      </w:pPr>
      <w:r>
        <w:rPr>
          <w:rFonts w:ascii="Calibri" w:cs="Calibri" w:eastAsia="Calibri" w:hAnsi="Calibri"/>
          <w:i/>
          <w:iCs/>
          <w:color w:val="ddd9d0"/>
          <w:sz w:val="16"/>
          <w:szCs w:val="16"/>
        </w:rPr>
        <w:t xml:space="preserve">Developed by Click Seed Pty Ltd ABN 87 656 256 567. This template is a compliance assistance tool only and does not constitute legal advice.</w:t>
      </w:r>
    </w:p>
    <w:p>
      <w:r>
        <w:br w:type="page"/>
      </w:r>
    </w:p>
    <w:p>
      <w:pPr>
        <w:pStyle w:val="Heading1"/>
        <w:pBdr>
          <w:bottom w:val="single" w:color="b8965a" w:sz="6" w:space="4"/>
        </w:pBdr>
        <w:spacing w:before="320" w:after="120"/>
      </w:pPr>
      <w:r>
        <w:rPr>
          <w:rFonts w:ascii="Calibri" w:cs="Calibri" w:eastAsia="Calibri" w:hAnsi="Calibri"/>
          <w:b/>
          <w:bCs/>
          <w:color w:val="0f1117"/>
          <w:sz w:val="28"/>
          <w:szCs w:val="28"/>
        </w:rPr>
        <w:t xml:space="preserve">1. Introduction and Purpose</w:t>
      </w:r>
    </w:p>
    <w:p>
      <w:pPr>
        <w:spacing w:before="0" w:after="120"/>
      </w:pPr>
      <w:r>
        <w:rPr>
          <w:rFonts w:ascii="Calibri" w:cs="Calibri" w:eastAsia="Calibri" w:hAnsi="Calibri"/>
          <w:b w:val="false"/>
          <w:bCs w:val="false"/>
          <w:i w:val="false"/>
          <w:iCs w:val="false"/>
          <w:color w:val="6b6459"/>
          <w:sz w:val="20"/>
          <w:szCs w:val="20"/>
        </w:rPr>
        <w:t xml:space="preserve">[Practice Name] (‘the Practice’) is a licensed conveyancing practice providing designated conveyancing services under the Anti-Money Laundering and Counter-Terrorism Financing Act 2006 (Cth) (‘AML/CTF Act’). This document is Part A of the Practice’s AML/CTF Program as required under Part 7 of the AML/CTF Act.</w:t>
      </w:r>
    </w:p>
    <w:p>
      <w:pPr>
        <w:spacing w:before="0" w:after="120"/>
      </w:pPr>
      <w:r>
        <w:rPr>
          <w:rFonts w:ascii="Calibri" w:cs="Calibri" w:eastAsia="Calibri" w:hAnsi="Calibri"/>
          <w:b w:val="false"/>
          <w:bCs w:val="false"/>
          <w:i w:val="false"/>
          <w:iCs w:val="false"/>
          <w:color w:val="6b6459"/>
          <w:sz w:val="20"/>
          <w:szCs w:val="20"/>
        </w:rPr>
        <w:t xml:space="preserve">This Policy Statement sets out the Practice’s commitment to preventing money laundering (ML), terrorism financing (TF) and proliferation financing (PF), and the governance framework for managing these risks.</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2. About This Practice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Legal Entity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ABN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ACN (if company)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State / Territory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Conveyancing Licence No.</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Business Address</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Phone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Email</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AUSTRAC Entity ID</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val="false"/>
                <w:iCs w:val="false"/>
                <w:color w:val="0f1117"/>
                <w:sz w:val="19"/>
                <w:szCs w:val="19"/>
              </w:rPr>
              <w:t xml:space="preserve">[To be completed after enrolment]</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Trust Account Held</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val="false"/>
                <w:iCs w:val="false"/>
                <w:color w:val="0f1117"/>
                <w:sz w:val="19"/>
                <w:szCs w:val="19"/>
              </w:rPr>
              <w:t xml:space="preserve">[Yes / No]</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3. Designated Services</w:t>
      </w:r>
    </w:p>
    <w:p>
      <w:pPr>
        <w:spacing w:before="0" w:after="120"/>
      </w:pPr>
      <w:r>
        <w:rPr>
          <w:rFonts w:ascii="Calibri" w:cs="Calibri" w:eastAsia="Calibri" w:hAnsi="Calibri"/>
          <w:b w:val="false"/>
          <w:bCs w:val="false"/>
          <w:i w:val="false"/>
          <w:iCs w:val="false"/>
          <w:color w:val="6b6459"/>
          <w:sz w:val="20"/>
          <w:szCs w:val="20"/>
        </w:rPr>
        <w:t xml:space="preserve">The Practice provides the following designated services under the AML/CTF Act (tick all that apply):</w:t>
      </w:r>
    </w:p>
    <w:p>
      <w:pPr>
        <w:spacing w:before="0" w:after="60"/>
      </w:pPr>
      <w:r>
        <w:t xml:space="preserve"/>
      </w:r>
    </w:p>
    <w:p>
      <w:pPr>
        <w:pStyle w:val="ListParagraph"/>
        <w:numPr>
          <w:ilvl w:val="0"/>
          <w:numId w:val="2"/>
        </w:numPr>
        <w:spacing w:before="0" w:after="80"/>
      </w:pPr>
      <w:r>
        <w:rPr>
          <w:rFonts w:ascii="Calibri" w:cs="Calibri" w:eastAsia="Calibri" w:hAnsi="Calibri"/>
          <w:color w:val="6b6459"/>
          <w:sz w:val="20"/>
          <w:szCs w:val="20"/>
        </w:rPr>
        <w:t xml:space="preserve">Assisting in the planning or execution of the sale of real estate on behalf of a seller</w:t>
      </w:r>
    </w:p>
    <w:p>
      <w:pPr>
        <w:pStyle w:val="ListParagraph"/>
        <w:numPr>
          <w:ilvl w:val="0"/>
          <w:numId w:val="2"/>
        </w:numPr>
        <w:spacing w:before="0" w:after="80"/>
      </w:pPr>
      <w:r>
        <w:rPr>
          <w:rFonts w:ascii="Calibri" w:cs="Calibri" w:eastAsia="Calibri" w:hAnsi="Calibri"/>
          <w:color w:val="6b6459"/>
          <w:sz w:val="20"/>
          <w:szCs w:val="20"/>
        </w:rPr>
        <w:t xml:space="preserve">Assisting in the planning or execution of the purchase of real estate on behalf of a buyer</w:t>
      </w:r>
    </w:p>
    <w:p>
      <w:pPr>
        <w:pStyle w:val="ListParagraph"/>
        <w:numPr>
          <w:ilvl w:val="0"/>
          <w:numId w:val="2"/>
        </w:numPr>
        <w:spacing w:before="0" w:after="80"/>
      </w:pPr>
      <w:r>
        <w:rPr>
          <w:rFonts w:ascii="Calibri" w:cs="Calibri" w:eastAsia="Calibri" w:hAnsi="Calibri"/>
          <w:color w:val="6b6459"/>
          <w:sz w:val="20"/>
          <w:szCs w:val="20"/>
        </w:rPr>
        <w:t xml:space="preserve">Assisting in the planning or execution of the transfer of real estate</w:t>
      </w:r>
    </w:p>
    <w:p>
      <w:pPr>
        <w:pStyle w:val="ListParagraph"/>
        <w:numPr>
          <w:ilvl w:val="0"/>
          <w:numId w:val="2"/>
        </w:numPr>
        <w:spacing w:before="0" w:after="80"/>
      </w:pPr>
      <w:r>
        <w:rPr>
          <w:rFonts w:ascii="Calibri" w:cs="Calibri" w:eastAsia="Calibri" w:hAnsi="Calibri"/>
          <w:color w:val="6b6459"/>
          <w:sz w:val="20"/>
          <w:szCs w:val="20"/>
        </w:rPr>
        <w:t xml:space="preserve">Assisting with transactions involving body corporate interests or legal arrangements relating to real estate</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Note: All four services are designated services under the AML/CTF Act. Tick only those that your practice actually provides. You must declare all applicable services on your AUSTRAC enrolment form.</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4. AML/CTF Compliance Officer (AMLCO)</w:t>
      </w:r>
    </w:p>
    <w:p>
      <w:pPr>
        <w:spacing w:before="0" w:after="120"/>
      </w:pPr>
      <w:r>
        <w:rPr>
          <w:rFonts w:ascii="Calibri" w:cs="Calibri" w:eastAsia="Calibri" w:hAnsi="Calibri"/>
          <w:b w:val="false"/>
          <w:bCs w:val="false"/>
          <w:i w:val="false"/>
          <w:iCs w:val="false"/>
          <w:color w:val="6b6459"/>
          <w:sz w:val="20"/>
          <w:szCs w:val="20"/>
        </w:rPr>
        <w:t xml:space="preserve">The Practice has appointed an AML/CTF Compliance Officer (AMLCO) who is responsible for overseeing the implementation and ongoing management of this Program.</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Full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Title / Role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Appointment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Email</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Phone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p>
      <w:pPr>
        <w:spacing w:before="0" w:after="120"/>
      </w:pPr>
      <w:r>
        <w:rPr>
          <w:rFonts w:ascii="Calibri" w:cs="Calibri" w:eastAsia="Calibri" w:hAnsi="Calibri"/>
          <w:b/>
          <w:bCs/>
          <w:i w:val="false"/>
          <w:iCs w:val="false"/>
          <w:color w:val="0f1117"/>
          <w:sz w:val="20"/>
          <w:szCs w:val="20"/>
        </w:rPr>
        <w:t xml:space="preserve">The AMLCO is responsible for:</w:t>
      </w:r>
    </w:p>
    <w:p>
      <w:pPr>
        <w:pStyle w:val="ListParagraph"/>
        <w:numPr>
          <w:ilvl w:val="0"/>
          <w:numId w:val="2"/>
        </w:numPr>
        <w:spacing w:before="0" w:after="80"/>
      </w:pPr>
      <w:r>
        <w:rPr>
          <w:rFonts w:ascii="Calibri" w:cs="Calibri" w:eastAsia="Calibri" w:hAnsi="Calibri"/>
          <w:color w:val="6b6459"/>
          <w:sz w:val="20"/>
          <w:szCs w:val="20"/>
        </w:rPr>
        <w:t xml:space="preserve">Overseeing day-to-day compliance with AML/CTF obligations</w:t>
      </w:r>
    </w:p>
    <w:p>
      <w:pPr>
        <w:pStyle w:val="ListParagraph"/>
        <w:numPr>
          <w:ilvl w:val="0"/>
          <w:numId w:val="2"/>
        </w:numPr>
        <w:spacing w:before="0" w:after="80"/>
      </w:pPr>
      <w:r>
        <w:rPr>
          <w:rFonts w:ascii="Calibri" w:cs="Calibri" w:eastAsia="Calibri" w:hAnsi="Calibri"/>
          <w:color w:val="6b6459"/>
          <w:sz w:val="20"/>
          <w:szCs w:val="20"/>
        </w:rPr>
        <w:t xml:space="preserve">Maintaining and updating the AML/CTF Program</w:t>
      </w:r>
    </w:p>
    <w:p>
      <w:pPr>
        <w:pStyle w:val="ListParagraph"/>
        <w:numPr>
          <w:ilvl w:val="0"/>
          <w:numId w:val="2"/>
        </w:numPr>
        <w:spacing w:before="0" w:after="80"/>
      </w:pPr>
      <w:r>
        <w:rPr>
          <w:rFonts w:ascii="Calibri" w:cs="Calibri" w:eastAsia="Calibri" w:hAnsi="Calibri"/>
          <w:color w:val="6b6459"/>
          <w:sz w:val="20"/>
          <w:szCs w:val="20"/>
        </w:rPr>
        <w:t xml:space="preserve">Ensuring staff training is current</w:t>
      </w:r>
    </w:p>
    <w:p>
      <w:pPr>
        <w:pStyle w:val="ListParagraph"/>
        <w:numPr>
          <w:ilvl w:val="0"/>
          <w:numId w:val="2"/>
        </w:numPr>
        <w:spacing w:before="0" w:after="80"/>
      </w:pPr>
      <w:r>
        <w:rPr>
          <w:rFonts w:ascii="Calibri" w:cs="Calibri" w:eastAsia="Calibri" w:hAnsi="Calibri"/>
          <w:color w:val="6b6459"/>
          <w:sz w:val="20"/>
          <w:szCs w:val="20"/>
        </w:rPr>
        <w:t xml:space="preserve">Reviewing and approving high-risk customer matters</w:t>
      </w:r>
    </w:p>
    <w:p>
      <w:pPr>
        <w:pStyle w:val="ListParagraph"/>
        <w:numPr>
          <w:ilvl w:val="0"/>
          <w:numId w:val="2"/>
        </w:numPr>
        <w:spacing w:before="0" w:after="80"/>
      </w:pPr>
      <w:r>
        <w:rPr>
          <w:rFonts w:ascii="Calibri" w:cs="Calibri" w:eastAsia="Calibri" w:hAnsi="Calibri"/>
          <w:color w:val="6b6459"/>
          <w:sz w:val="20"/>
          <w:szCs w:val="20"/>
        </w:rPr>
        <w:t xml:space="preserve">Overseeing the filing of Suspicious Matter Reports (SMRs)</w:t>
      </w:r>
    </w:p>
    <w:p>
      <w:pPr>
        <w:pStyle w:val="ListParagraph"/>
        <w:numPr>
          <w:ilvl w:val="0"/>
          <w:numId w:val="2"/>
        </w:numPr>
        <w:spacing w:before="0" w:after="80"/>
      </w:pPr>
      <w:r>
        <w:rPr>
          <w:rFonts w:ascii="Calibri" w:cs="Calibri" w:eastAsia="Calibri" w:hAnsi="Calibri"/>
          <w:color w:val="6b6459"/>
          <w:sz w:val="20"/>
          <w:szCs w:val="20"/>
        </w:rPr>
        <w:t xml:space="preserve">Reporting to senior management on compliance matters</w:t>
      </w:r>
    </w:p>
    <w:p>
      <w:pPr>
        <w:pStyle w:val="ListParagraph"/>
        <w:numPr>
          <w:ilvl w:val="0"/>
          <w:numId w:val="2"/>
        </w:numPr>
        <w:spacing w:before="0" w:after="80"/>
      </w:pPr>
      <w:r>
        <w:rPr>
          <w:rFonts w:ascii="Calibri" w:cs="Calibri" w:eastAsia="Calibri" w:hAnsi="Calibri"/>
          <w:color w:val="6b6459"/>
          <w:sz w:val="20"/>
          <w:szCs w:val="20"/>
        </w:rPr>
        <w:t xml:space="preserve">Notifying AUSTRAC of material changes to the Practice's operations</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5. Risk Appetite Statement</w:t>
      </w:r>
    </w:p>
    <w:p>
      <w:pPr>
        <w:spacing w:before="0" w:after="120"/>
      </w:pPr>
      <w:r>
        <w:rPr>
          <w:rFonts w:ascii="Calibri" w:cs="Calibri" w:eastAsia="Calibri" w:hAnsi="Calibri"/>
          <w:b w:val="false"/>
          <w:bCs w:val="false"/>
          <w:i w:val="false"/>
          <w:iCs w:val="false"/>
          <w:color w:val="6b6459"/>
          <w:sz w:val="20"/>
          <w:szCs w:val="20"/>
        </w:rPr>
        <w:t xml:space="preserve">The Practice has a low tolerance for money laundering, terrorism financing and proliferation financing risk. We are committed to:</w:t>
      </w:r>
    </w:p>
    <w:p>
      <w:pPr>
        <w:pStyle w:val="ListParagraph"/>
        <w:numPr>
          <w:ilvl w:val="0"/>
          <w:numId w:val="2"/>
        </w:numPr>
        <w:spacing w:before="0" w:after="80"/>
      </w:pPr>
      <w:r>
        <w:rPr>
          <w:rFonts w:ascii="Calibri" w:cs="Calibri" w:eastAsia="Calibri" w:hAnsi="Calibri"/>
          <w:color w:val="6b6459"/>
          <w:sz w:val="20"/>
          <w:szCs w:val="20"/>
        </w:rPr>
        <w:t xml:space="preserve">Knowing who our clients are before beginning any conveyancing work</w:t>
      </w:r>
    </w:p>
    <w:p>
      <w:pPr>
        <w:pStyle w:val="ListParagraph"/>
        <w:numPr>
          <w:ilvl w:val="0"/>
          <w:numId w:val="2"/>
        </w:numPr>
        <w:spacing w:before="0" w:after="80"/>
      </w:pPr>
      <w:r>
        <w:rPr>
          <w:rFonts w:ascii="Calibri" w:cs="Calibri" w:eastAsia="Calibri" w:hAnsi="Calibri"/>
          <w:color w:val="6b6459"/>
          <w:sz w:val="20"/>
          <w:szCs w:val="20"/>
        </w:rPr>
        <w:t xml:space="preserve">Declining to act for clients where CDD cannot be satisfactorily completed</w:t>
      </w:r>
    </w:p>
    <w:p>
      <w:pPr>
        <w:pStyle w:val="ListParagraph"/>
        <w:numPr>
          <w:ilvl w:val="0"/>
          <w:numId w:val="2"/>
        </w:numPr>
        <w:spacing w:before="0" w:after="80"/>
      </w:pPr>
      <w:r>
        <w:rPr>
          <w:rFonts w:ascii="Calibri" w:cs="Calibri" w:eastAsia="Calibri" w:hAnsi="Calibri"/>
          <w:color w:val="6b6459"/>
          <w:sz w:val="20"/>
          <w:szCs w:val="20"/>
        </w:rPr>
        <w:t xml:space="preserve">Escalating and reporting suspicious matters promptly</w:t>
      </w:r>
    </w:p>
    <w:p>
      <w:pPr>
        <w:pStyle w:val="ListParagraph"/>
        <w:numPr>
          <w:ilvl w:val="0"/>
          <w:numId w:val="2"/>
        </w:numPr>
        <w:spacing w:before="0" w:after="80"/>
      </w:pPr>
      <w:r>
        <w:rPr>
          <w:rFonts w:ascii="Calibri" w:cs="Calibri" w:eastAsia="Calibri" w:hAnsi="Calibri"/>
          <w:color w:val="6b6459"/>
          <w:sz w:val="20"/>
          <w:szCs w:val="20"/>
        </w:rPr>
        <w:t xml:space="preserve">Not facilitating transactions that we suspect involve proceeds of crime</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Customise this section to reflect your practice's actual risk appetite and tolerance. Consider whether your practice serves any higher-risk client segments (e.g. foreign nationals, complex entity structures, high-value commercial transactions) and tailor accordingly.</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6. ML/TF/PF Risk Assessment</w:t>
      </w:r>
    </w:p>
    <w:p>
      <w:pPr>
        <w:spacing w:before="0" w:after="120"/>
      </w:pPr>
      <w:r>
        <w:rPr>
          <w:rFonts w:ascii="Calibri" w:cs="Calibri" w:eastAsia="Calibri" w:hAnsi="Calibri"/>
          <w:b w:val="false"/>
          <w:bCs w:val="false"/>
          <w:i w:val="false"/>
          <w:iCs w:val="false"/>
          <w:color w:val="6b6459"/>
          <w:sz w:val="20"/>
          <w:szCs w:val="20"/>
        </w:rPr>
        <w:t xml:space="preserve">The Practice has completed a documented risk assessment in accordance with section 161 of the AML/CTF Act. The risk assessment identifies and assesses the ML/TF/PF risks faced by the Practice across the following categories:</w:t>
      </w:r>
    </w:p>
    <w:p>
      <w:pPr>
        <w:pStyle w:val="ListParagraph"/>
        <w:numPr>
          <w:ilvl w:val="0"/>
          <w:numId w:val="2"/>
        </w:numPr>
        <w:spacing w:before="0" w:after="80"/>
      </w:pPr>
      <w:r>
        <w:rPr>
          <w:rFonts w:ascii="Calibri" w:cs="Calibri" w:eastAsia="Calibri" w:hAnsi="Calibri"/>
          <w:color w:val="6b6459"/>
          <w:sz w:val="20"/>
          <w:szCs w:val="20"/>
        </w:rPr>
        <w:t xml:space="preserve">Transaction and property risk</w:t>
      </w:r>
    </w:p>
    <w:p>
      <w:pPr>
        <w:pStyle w:val="ListParagraph"/>
        <w:numPr>
          <w:ilvl w:val="0"/>
          <w:numId w:val="2"/>
        </w:numPr>
        <w:spacing w:before="0" w:after="80"/>
      </w:pPr>
      <w:r>
        <w:rPr>
          <w:rFonts w:ascii="Calibri" w:cs="Calibri" w:eastAsia="Calibri" w:hAnsi="Calibri"/>
          <w:color w:val="6b6459"/>
          <w:sz w:val="20"/>
          <w:szCs w:val="20"/>
        </w:rPr>
        <w:t xml:space="preserve">Trust account risk</w:t>
      </w:r>
    </w:p>
    <w:p>
      <w:pPr>
        <w:pStyle w:val="ListParagraph"/>
        <w:numPr>
          <w:ilvl w:val="0"/>
          <w:numId w:val="2"/>
        </w:numPr>
        <w:spacing w:before="0" w:after="80"/>
      </w:pPr>
      <w:r>
        <w:rPr>
          <w:rFonts w:ascii="Calibri" w:cs="Calibri" w:eastAsia="Calibri" w:hAnsi="Calibri"/>
          <w:color w:val="6b6459"/>
          <w:sz w:val="20"/>
          <w:szCs w:val="20"/>
        </w:rPr>
        <w:t xml:space="preserve">Proliferation financing (PF) risk</w:t>
      </w:r>
    </w:p>
    <w:p>
      <w:pPr>
        <w:pStyle w:val="ListParagraph"/>
        <w:numPr>
          <w:ilvl w:val="0"/>
          <w:numId w:val="2"/>
        </w:numPr>
        <w:spacing w:before="0" w:after="80"/>
      </w:pPr>
      <w:r>
        <w:rPr>
          <w:rFonts w:ascii="Calibri" w:cs="Calibri" w:eastAsia="Calibri" w:hAnsi="Calibri"/>
          <w:color w:val="6b6459"/>
          <w:sz w:val="20"/>
          <w:szCs w:val="20"/>
        </w:rPr>
        <w:t xml:space="preserve">Customer risk</w:t>
      </w:r>
    </w:p>
    <w:p>
      <w:pPr>
        <w:pStyle w:val="ListParagraph"/>
        <w:numPr>
          <w:ilvl w:val="0"/>
          <w:numId w:val="2"/>
        </w:numPr>
        <w:spacing w:before="0" w:after="80"/>
      </w:pPr>
      <w:r>
        <w:rPr>
          <w:rFonts w:ascii="Calibri" w:cs="Calibri" w:eastAsia="Calibri" w:hAnsi="Calibri"/>
          <w:color w:val="6b6459"/>
          <w:sz w:val="20"/>
          <w:szCs w:val="20"/>
        </w:rPr>
        <w:t xml:space="preserve">Geographic risk</w:t>
      </w:r>
    </w:p>
    <w:p>
      <w:pPr>
        <w:spacing w:before="0" w:after="60"/>
      </w:pPr>
      <w:r>
        <w:t xml:space="preserve"/>
      </w:r>
    </w:p>
    <w:p>
      <w:pPr>
        <w:spacing w:before="0" w:after="120"/>
      </w:pPr>
      <w:r>
        <w:rPr>
          <w:rFonts w:ascii="Calibri" w:cs="Calibri" w:eastAsia="Calibri" w:hAnsi="Calibri"/>
          <w:b/>
          <w:bCs/>
          <w:i w:val="false"/>
          <w:iCs w:val="false"/>
          <w:color w:val="0f1117"/>
          <w:sz w:val="20"/>
          <w:szCs w:val="20"/>
        </w:rPr>
        <w:t xml:space="preserve">The risk assessment is documented in a separate Risk Assessment Worksheet, which forms part of this Program. The overall ML/TF/PF risk rating of the Practice is assessed as:</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Overall Risk Rating</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val="false"/>
                <w:iCs w:val="false"/>
                <w:color w:val="0f1117"/>
                <w:sz w:val="19"/>
                <w:szCs w:val="19"/>
              </w:rPr>
              <w:t xml:space="preserve">[Low / Medium / High]</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Assessment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Assessed By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Next Review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p>
      <w:pPr>
        <w:spacing w:before="0" w:after="120"/>
      </w:pPr>
      <w:r>
        <w:rPr>
          <w:rFonts w:ascii="Calibri" w:cs="Calibri" w:eastAsia="Calibri" w:hAnsi="Calibri"/>
          <w:b w:val="false"/>
          <w:bCs w:val="false"/>
          <w:i w:val="false"/>
          <w:iCs w:val="false"/>
          <w:color w:val="6b6459"/>
          <w:sz w:val="20"/>
          <w:szCs w:val="20"/>
        </w:rPr>
        <w:t xml:space="preserve">This Program has been designed to manage the risks identified in the risk assessment. The risk assessment will be reviewed at least every three years, or whenever there is a material change to the Practice's risk environment.</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7. Program Structure</w:t>
      </w:r>
    </w:p>
    <w:p>
      <w:pPr>
        <w:spacing w:before="0" w:after="120"/>
      </w:pPr>
      <w:r>
        <w:rPr>
          <w:rFonts w:ascii="Calibri" w:cs="Calibri" w:eastAsia="Calibri" w:hAnsi="Calibri"/>
          <w:b w:val="false"/>
          <w:bCs w:val="false"/>
          <w:i w:val="false"/>
          <w:iCs w:val="false"/>
          <w:color w:val="6b6459"/>
          <w:sz w:val="20"/>
          <w:szCs w:val="20"/>
        </w:rPr>
        <w:t xml:space="preserve">This AML/CTF Program consists of two documents:</w:t>
      </w:r>
    </w:p>
    <w:p>
      <w:pPr>
        <w:pStyle w:val="ListParagraph"/>
        <w:numPr>
          <w:ilvl w:val="0"/>
          <w:numId w:val="2"/>
        </w:numPr>
        <w:spacing w:before="0" w:after="80"/>
      </w:pPr>
      <w:r>
        <w:rPr>
          <w:rFonts w:ascii="Calibri" w:cs="Calibri" w:eastAsia="Calibri" w:hAnsi="Calibri"/>
          <w:color w:val="6b6459"/>
          <w:sz w:val="20"/>
          <w:szCs w:val="20"/>
        </w:rPr>
        <w:t xml:space="preserve">Part A — AML/CTF Policy Statement (this document): sets out the governance framework, risk appetite and key obligations</w:t>
      </w:r>
    </w:p>
    <w:p>
      <w:pPr>
        <w:pStyle w:val="ListParagraph"/>
        <w:numPr>
          <w:ilvl w:val="0"/>
          <w:numId w:val="2"/>
        </w:numPr>
        <w:spacing w:before="0" w:after="80"/>
      </w:pPr>
      <w:r>
        <w:rPr>
          <w:rFonts w:ascii="Calibri" w:cs="Calibri" w:eastAsia="Calibri" w:hAnsi="Calibri"/>
          <w:color w:val="6b6459"/>
          <w:sz w:val="20"/>
          <w:szCs w:val="20"/>
        </w:rPr>
        <w:t xml:space="preserve">Part B — CDD and Operational Procedures: sets out the step-by-step procedures for identifying and verifying clients, screening for PEPs and sanctions, handling suspicious matters, and maintaining records</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8. Key Obligations</w:t>
      </w:r>
    </w:p>
    <w:p>
      <w:pPr>
        <w:pStyle w:val="Heading2"/>
        <w:spacing w:before="240" w:after="80"/>
      </w:pPr>
      <w:r>
        <w:rPr>
          <w:rFonts w:ascii="Calibri" w:cs="Calibri" w:eastAsia="Calibri" w:hAnsi="Calibri"/>
          <w:b/>
          <w:bCs/>
          <w:color w:val="b8965a"/>
          <w:sz w:val="24"/>
          <w:szCs w:val="24"/>
        </w:rPr>
        <w:t xml:space="preserve">8.1 Customer Due Diligence (CDD)</w:t>
      </w:r>
    </w:p>
    <w:p>
      <w:pPr>
        <w:spacing w:before="0" w:after="120"/>
      </w:pPr>
      <w:r>
        <w:rPr>
          <w:rFonts w:ascii="Calibri" w:cs="Calibri" w:eastAsia="Calibri" w:hAnsi="Calibri"/>
          <w:b w:val="false"/>
          <w:bCs w:val="false"/>
          <w:i w:val="false"/>
          <w:iCs w:val="false"/>
          <w:color w:val="6b6459"/>
          <w:sz w:val="20"/>
          <w:szCs w:val="20"/>
        </w:rPr>
        <w:t xml:space="preserve">The Practice will conduct CDD on all clients in accordance with Part B of this Program before beginning to assist with any designated service. CDD will be conducted at engagement — before reviewing contracts, providing advice or preparing any documents.</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8.2 PEP and Sanctions Screening</w:t>
      </w:r>
    </w:p>
    <w:p>
      <w:pPr>
        <w:spacing w:before="0" w:after="120"/>
      </w:pPr>
      <w:r>
        <w:rPr>
          <w:rFonts w:ascii="Calibri" w:cs="Calibri" w:eastAsia="Calibri" w:hAnsi="Calibri"/>
          <w:b w:val="false"/>
          <w:bCs w:val="false"/>
          <w:i w:val="false"/>
          <w:iCs w:val="false"/>
          <w:color w:val="6b6459"/>
          <w:sz w:val="20"/>
          <w:szCs w:val="20"/>
        </w:rPr>
        <w:t xml:space="preserve">All clients will be screened against politically exposed person (PEP) lists and the DFAT consolidated sanctions list at or before engagement. Screening will be documented in the client CDD record.</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8.3 Suspicious Matter Reports</w:t>
      </w:r>
    </w:p>
    <w:p>
      <w:pPr>
        <w:spacing w:before="0" w:after="120"/>
      </w:pPr>
      <w:r>
        <w:rPr>
          <w:rFonts w:ascii="Calibri" w:cs="Calibri" w:eastAsia="Calibri" w:hAnsi="Calibri"/>
          <w:b w:val="false"/>
          <w:bCs w:val="false"/>
          <w:i w:val="false"/>
          <w:iCs w:val="false"/>
          <w:color w:val="6b6459"/>
          <w:sz w:val="20"/>
          <w:szCs w:val="20"/>
        </w:rPr>
        <w:t xml:space="preserve">The Practice will file Suspicious Matter Reports (SMRs) with AUSTRAC where there are reasonable grounds to suspect that a transaction involves ML/TF activity or proceeds of crime. SMRs will be filed as soon as practicable after forming the suspicion.</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8.4 Tipping Off Prohibition</w:t>
      </w:r>
    </w:p>
    <w:p>
      <w:pPr>
        <w:spacing w:before="0" w:after="120"/>
      </w:pPr>
      <w:r>
        <w:rPr>
          <w:rFonts w:ascii="Calibri" w:cs="Calibri" w:eastAsia="Calibri" w:hAnsi="Calibri"/>
          <w:b w:val="false"/>
          <w:bCs w:val="false"/>
          <w:i w:val="false"/>
          <w:iCs w:val="false"/>
          <w:color w:val="6b6459"/>
          <w:sz w:val="20"/>
          <w:szCs w:val="20"/>
        </w:rPr>
        <w:t xml:space="preserve">Staff are prohibited from disclosing to any person (including the client) that an SMR has been filed or is being considered. Tipping off is a criminal offence under s.123 of the AML/CTF Act carrying penalties of up to 2 years imprisonment.</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8.5 Record Keeping</w:t>
      </w:r>
    </w:p>
    <w:p>
      <w:pPr>
        <w:spacing w:before="0" w:after="120"/>
      </w:pPr>
      <w:r>
        <w:rPr>
          <w:rFonts w:ascii="Calibri" w:cs="Calibri" w:eastAsia="Calibri" w:hAnsi="Calibri"/>
          <w:b w:val="false"/>
          <w:bCs w:val="false"/>
          <w:i w:val="false"/>
          <w:iCs w:val="false"/>
          <w:color w:val="6b6459"/>
          <w:sz w:val="20"/>
          <w:szCs w:val="20"/>
        </w:rPr>
        <w:t xml:space="preserve">The Practice will retain all AML/CTF records for 7 years from the date created or the transaction completed, in accordance with Part 10A of the AML/CTF Act.</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8.6 Annual Compliance Report (ACR)</w:t>
      </w:r>
    </w:p>
    <w:p>
      <w:pPr>
        <w:spacing w:before="0" w:after="120"/>
      </w:pPr>
      <w:r>
        <w:rPr>
          <w:rFonts w:ascii="Calibri" w:cs="Calibri" w:eastAsia="Calibri" w:hAnsi="Calibri"/>
          <w:b w:val="false"/>
          <w:bCs w:val="false"/>
          <w:i w:val="false"/>
          <w:iCs w:val="false"/>
          <w:color w:val="6b6459"/>
          <w:sz w:val="20"/>
          <w:szCs w:val="20"/>
        </w:rPr>
        <w:t xml:space="preserve">The Practice will submit an Annual Compliance Report to AUSTRAC each year once enrolled. The first ACR is expected to be due in 2027 (exact date to be confirmed by AUSTRAC).</w:t>
      </w:r>
    </w:p>
    <w:p>
      <w:pPr>
        <w:spacing w:before="0" w:after="60"/>
      </w:pPr>
      <w:r>
        <w:t xml:space="preserve"/>
      </w:r>
    </w:p>
    <w:p>
      <w:pPr>
        <w:pStyle w:val="Heading2"/>
        <w:spacing w:before="240" w:after="80"/>
      </w:pPr>
      <w:r>
        <w:rPr>
          <w:rFonts w:ascii="Calibri" w:cs="Calibri" w:eastAsia="Calibri" w:hAnsi="Calibri"/>
          <w:b/>
          <w:bCs/>
          <w:color w:val="b8965a"/>
          <w:sz w:val="24"/>
          <w:szCs w:val="24"/>
        </w:rPr>
        <w:t xml:space="preserve">8.7 Independent Evaluation</w:t>
      </w:r>
    </w:p>
    <w:p>
      <w:pPr>
        <w:spacing w:before="0" w:after="120"/>
      </w:pPr>
      <w:r>
        <w:rPr>
          <w:rFonts w:ascii="Calibri" w:cs="Calibri" w:eastAsia="Calibri" w:hAnsi="Calibri"/>
          <w:b w:val="false"/>
          <w:bCs w:val="false"/>
          <w:i w:val="false"/>
          <w:iCs w:val="false"/>
          <w:color w:val="6b6459"/>
          <w:sz w:val="20"/>
          <w:szCs w:val="20"/>
        </w:rPr>
        <w:t xml:space="preserve">The Practice will arrange an independent evaluation of this Program at least every 3 years in accordance with s.159 of the AML/CTF Act. The first evaluation is planned for no earlier than 1 July 2029.</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9. Staff Training</w:t>
      </w:r>
    </w:p>
    <w:p>
      <w:pPr>
        <w:spacing w:before="0" w:after="120"/>
      </w:pPr>
      <w:r>
        <w:rPr>
          <w:rFonts w:ascii="Calibri" w:cs="Calibri" w:eastAsia="Calibri" w:hAnsi="Calibri"/>
          <w:b w:val="false"/>
          <w:bCs w:val="false"/>
          <w:i w:val="false"/>
          <w:iCs w:val="false"/>
          <w:color w:val="6b6459"/>
          <w:sz w:val="20"/>
          <w:szCs w:val="20"/>
        </w:rPr>
        <w:t xml:space="preserve">All staff with AML/CTF-related functions must complete AML/CTF training before commencing those functions, and annually thereafter. Training will cover:</w:t>
      </w:r>
    </w:p>
    <w:p>
      <w:pPr>
        <w:pStyle w:val="ListParagraph"/>
        <w:numPr>
          <w:ilvl w:val="0"/>
          <w:numId w:val="2"/>
        </w:numPr>
        <w:spacing w:before="0" w:after="80"/>
      </w:pPr>
      <w:r>
        <w:rPr>
          <w:rFonts w:ascii="Calibri" w:cs="Calibri" w:eastAsia="Calibri" w:hAnsi="Calibri"/>
          <w:color w:val="6b6459"/>
          <w:sz w:val="20"/>
          <w:szCs w:val="20"/>
        </w:rPr>
        <w:t xml:space="preserve">The Practice's AML/CTF obligations under the AML/CTF Act</w:t>
      </w:r>
    </w:p>
    <w:p>
      <w:pPr>
        <w:pStyle w:val="ListParagraph"/>
        <w:numPr>
          <w:ilvl w:val="0"/>
          <w:numId w:val="2"/>
        </w:numPr>
        <w:spacing w:before="0" w:after="80"/>
      </w:pPr>
      <w:r>
        <w:rPr>
          <w:rFonts w:ascii="Calibri" w:cs="Calibri" w:eastAsia="Calibri" w:hAnsi="Calibri"/>
          <w:color w:val="6b6459"/>
          <w:sz w:val="20"/>
          <w:szCs w:val="20"/>
        </w:rPr>
        <w:t xml:space="preserve">How to conduct CDD, including PEP and sanctions screening</w:t>
      </w:r>
    </w:p>
    <w:p>
      <w:pPr>
        <w:pStyle w:val="ListParagraph"/>
        <w:numPr>
          <w:ilvl w:val="0"/>
          <w:numId w:val="2"/>
        </w:numPr>
        <w:spacing w:before="0" w:after="80"/>
      </w:pPr>
      <w:r>
        <w:rPr>
          <w:rFonts w:ascii="Calibri" w:cs="Calibri" w:eastAsia="Calibri" w:hAnsi="Calibri"/>
          <w:color w:val="6b6459"/>
          <w:sz w:val="20"/>
          <w:szCs w:val="20"/>
        </w:rPr>
        <w:t xml:space="preserve">How to recognise red flags and suspicious activity</w:t>
      </w:r>
    </w:p>
    <w:p>
      <w:pPr>
        <w:pStyle w:val="ListParagraph"/>
        <w:numPr>
          <w:ilvl w:val="0"/>
          <w:numId w:val="2"/>
        </w:numPr>
        <w:spacing w:before="0" w:after="80"/>
      </w:pPr>
      <w:r>
        <w:rPr>
          <w:rFonts w:ascii="Calibri" w:cs="Calibri" w:eastAsia="Calibri" w:hAnsi="Calibri"/>
          <w:color w:val="6b6459"/>
          <w:sz w:val="20"/>
          <w:szCs w:val="20"/>
        </w:rPr>
        <w:t xml:space="preserve">The SMR process and tipping-off prohibition</w:t>
      </w:r>
    </w:p>
    <w:p>
      <w:pPr>
        <w:pStyle w:val="ListParagraph"/>
        <w:numPr>
          <w:ilvl w:val="0"/>
          <w:numId w:val="2"/>
        </w:numPr>
        <w:spacing w:before="0" w:after="80"/>
      </w:pPr>
      <w:r>
        <w:rPr>
          <w:rFonts w:ascii="Calibri" w:cs="Calibri" w:eastAsia="Calibri" w:hAnsi="Calibri"/>
          <w:color w:val="6b6459"/>
          <w:sz w:val="20"/>
          <w:szCs w:val="20"/>
        </w:rPr>
        <w:t xml:space="preserve">Trust account ML/TF controls (where applicable)</w:t>
      </w:r>
    </w:p>
    <w:p>
      <w:pPr>
        <w:spacing w:before="0" w:after="60"/>
      </w:pPr>
      <w:r>
        <w:t xml:space="preserve"/>
      </w:r>
    </w:p>
    <w:p>
      <w:pPr>
        <w:spacing w:before="0" w:after="120"/>
      </w:pPr>
      <w:r>
        <w:rPr>
          <w:rFonts w:ascii="Calibri" w:cs="Calibri" w:eastAsia="Calibri" w:hAnsi="Calibri"/>
          <w:b w:val="false"/>
          <w:bCs w:val="false"/>
          <w:i w:val="false"/>
          <w:iCs w:val="false"/>
          <w:color w:val="6b6459"/>
          <w:sz w:val="20"/>
          <w:szCs w:val="20"/>
        </w:rPr>
        <w:t xml:space="preserve">Training completion will be recorded in the Practice's training register.</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10. Staff Vetting</w:t>
      </w:r>
    </w:p>
    <w:p>
      <w:pPr>
        <w:spacing w:before="0" w:after="120"/>
      </w:pPr>
      <w:r>
        <w:rPr>
          <w:rFonts w:ascii="Calibri" w:cs="Calibri" w:eastAsia="Calibri" w:hAnsi="Calibri"/>
          <w:b w:val="false"/>
          <w:bCs w:val="false"/>
          <w:i w:val="false"/>
          <w:iCs w:val="false"/>
          <w:color w:val="6b6459"/>
          <w:sz w:val="20"/>
          <w:szCs w:val="20"/>
        </w:rPr>
        <w:t xml:space="preserve">All staff with AML/CTF-related functions will be vetted before commencing those functions, and periodically thereafter or when triggered by a role change or concern. Vetting will include:</w:t>
      </w:r>
    </w:p>
    <w:p>
      <w:pPr>
        <w:pStyle w:val="ListParagraph"/>
        <w:numPr>
          <w:ilvl w:val="0"/>
          <w:numId w:val="2"/>
        </w:numPr>
        <w:spacing w:before="0" w:after="80"/>
      </w:pPr>
      <w:r>
        <w:rPr>
          <w:rFonts w:ascii="Calibri" w:cs="Calibri" w:eastAsia="Calibri" w:hAnsi="Calibri"/>
          <w:color w:val="6b6459"/>
          <w:sz w:val="20"/>
          <w:szCs w:val="20"/>
        </w:rPr>
        <w:t xml:space="preserve">An interview confirming skills, knowledge and understanding of AML/CTF responsibilities</w:t>
      </w:r>
    </w:p>
    <w:p>
      <w:pPr>
        <w:pStyle w:val="ListParagraph"/>
        <w:numPr>
          <w:ilvl w:val="0"/>
          <w:numId w:val="2"/>
        </w:numPr>
        <w:spacing w:before="0" w:after="80"/>
      </w:pPr>
      <w:r>
        <w:rPr>
          <w:rFonts w:ascii="Calibri" w:cs="Calibri" w:eastAsia="Calibri" w:hAnsi="Calibri"/>
          <w:color w:val="6b6459"/>
          <w:sz w:val="20"/>
          <w:szCs w:val="20"/>
        </w:rPr>
        <w:t xml:space="preserve">A reference check (at least one reference)</w:t>
      </w:r>
    </w:p>
    <w:p>
      <w:pPr>
        <w:pStyle w:val="ListParagraph"/>
        <w:numPr>
          <w:ilvl w:val="0"/>
          <w:numId w:val="2"/>
        </w:numPr>
        <w:spacing w:before="0" w:after="80"/>
      </w:pPr>
      <w:r>
        <w:rPr>
          <w:rFonts w:ascii="Calibri" w:cs="Calibri" w:eastAsia="Calibri" w:hAnsi="Calibri"/>
          <w:color w:val="6b6459"/>
          <w:sz w:val="20"/>
          <w:szCs w:val="20"/>
        </w:rPr>
        <w:t xml:space="preserve">A signed self-attestation confirming no disqualifying history</w:t>
      </w:r>
    </w:p>
    <w:p>
      <w:pPr>
        <w:pStyle w:val="ListParagraph"/>
        <w:numPr>
          <w:ilvl w:val="0"/>
          <w:numId w:val="2"/>
        </w:numPr>
        <w:spacing w:before="0" w:after="80"/>
      </w:pPr>
      <w:r>
        <w:rPr>
          <w:rFonts w:ascii="Calibri" w:cs="Calibri" w:eastAsia="Calibri" w:hAnsi="Calibri"/>
          <w:color w:val="6b6459"/>
          <w:sz w:val="20"/>
          <w:szCs w:val="20"/>
        </w:rPr>
        <w:t xml:space="preserve">A criminal history check for staff with trust account access or AMLCO responsibilities</w:t>
      </w:r>
    </w:p>
    <w:p>
      <w:pPr>
        <w:spacing w:before="0" w:after="60"/>
      </w:pPr>
      <w:r>
        <w:t xml:space="preserve"/>
      </w:r>
    </w:p>
    <w:p>
      <w:pPr>
        <w:spacing w:before="0" w:after="120"/>
      </w:pPr>
      <w:r>
        <w:rPr>
          <w:rFonts w:ascii="Calibri" w:cs="Calibri" w:eastAsia="Calibri" w:hAnsi="Calibri"/>
          <w:b w:val="false"/>
          <w:bCs w:val="false"/>
          <w:i w:val="false"/>
          <w:iCs w:val="false"/>
          <w:color w:val="6b6459"/>
          <w:sz w:val="20"/>
          <w:szCs w:val="20"/>
        </w:rPr>
        <w:t xml:space="preserve">Vetting records will be maintained in the Practice's staff vetting register.</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11. Program Review</w:t>
      </w:r>
    </w:p>
    <w:p>
      <w:pPr>
        <w:spacing w:before="0" w:after="120"/>
      </w:pPr>
      <w:r>
        <w:rPr>
          <w:rFonts w:ascii="Calibri" w:cs="Calibri" w:eastAsia="Calibri" w:hAnsi="Calibri"/>
          <w:b w:val="false"/>
          <w:bCs w:val="false"/>
          <w:i w:val="false"/>
          <w:iCs w:val="false"/>
          <w:color w:val="6b6459"/>
          <w:sz w:val="20"/>
          <w:szCs w:val="20"/>
        </w:rPr>
        <w:t xml:space="preserve">This Program will be reviewed and updated:</w:t>
      </w:r>
    </w:p>
    <w:p>
      <w:pPr>
        <w:pStyle w:val="ListParagraph"/>
        <w:numPr>
          <w:ilvl w:val="0"/>
          <w:numId w:val="2"/>
        </w:numPr>
        <w:spacing w:before="0" w:after="80"/>
      </w:pPr>
      <w:r>
        <w:rPr>
          <w:rFonts w:ascii="Calibri" w:cs="Calibri" w:eastAsia="Calibri" w:hAnsi="Calibri"/>
          <w:color w:val="6b6459"/>
          <w:sz w:val="20"/>
          <w:szCs w:val="20"/>
        </w:rPr>
        <w:t xml:space="preserve">At least every 3 years</w:t>
      </w:r>
    </w:p>
    <w:p>
      <w:pPr>
        <w:pStyle w:val="ListParagraph"/>
        <w:numPr>
          <w:ilvl w:val="0"/>
          <w:numId w:val="2"/>
        </w:numPr>
        <w:spacing w:before="0" w:after="80"/>
      </w:pPr>
      <w:r>
        <w:rPr>
          <w:rFonts w:ascii="Calibri" w:cs="Calibri" w:eastAsia="Calibri" w:hAnsi="Calibri"/>
          <w:color w:val="6b6459"/>
          <w:sz w:val="20"/>
          <w:szCs w:val="20"/>
        </w:rPr>
        <w:t xml:space="preserve">Following any material change to the Practice's operations, services or risk profile</w:t>
      </w:r>
    </w:p>
    <w:p>
      <w:pPr>
        <w:pStyle w:val="ListParagraph"/>
        <w:numPr>
          <w:ilvl w:val="0"/>
          <w:numId w:val="2"/>
        </w:numPr>
        <w:spacing w:before="0" w:after="80"/>
      </w:pPr>
      <w:r>
        <w:rPr>
          <w:rFonts w:ascii="Calibri" w:cs="Calibri" w:eastAsia="Calibri" w:hAnsi="Calibri"/>
          <w:color w:val="6b6459"/>
          <w:sz w:val="20"/>
          <w:szCs w:val="20"/>
        </w:rPr>
        <w:t xml:space="preserve">Following a significant regulatory change</w:t>
      </w:r>
    </w:p>
    <w:p>
      <w:pPr>
        <w:pStyle w:val="ListParagraph"/>
        <w:numPr>
          <w:ilvl w:val="0"/>
          <w:numId w:val="2"/>
        </w:numPr>
        <w:spacing w:before="0" w:after="80"/>
      </w:pPr>
      <w:r>
        <w:rPr>
          <w:rFonts w:ascii="Calibri" w:cs="Calibri" w:eastAsia="Calibri" w:hAnsi="Calibri"/>
          <w:color w:val="6b6459"/>
          <w:sz w:val="20"/>
          <w:szCs w:val="20"/>
        </w:rPr>
        <w:t xml:space="preserve">Following an adverse finding in an independent evaluation or AUSTRAC review</w:t>
      </w:r>
    </w:p>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12. Senior Manager Approval</w:t>
      </w:r>
    </w:p>
    <w:p>
      <w:pPr>
        <w:spacing w:before="0" w:after="120"/>
      </w:pPr>
      <w:r>
        <w:rPr>
          <w:rFonts w:ascii="Calibri" w:cs="Calibri" w:eastAsia="Calibri" w:hAnsi="Calibri"/>
          <w:b w:val="false"/>
          <w:bCs w:val="false"/>
          <w:i w:val="false"/>
          <w:iCs w:val="false"/>
          <w:color w:val="6b6459"/>
          <w:sz w:val="20"/>
          <w:szCs w:val="20"/>
        </w:rPr>
        <w:t xml:space="preserve">This AML/CTF Program has been reviewed and approved by the senior manager nominated below.</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Approved By (Full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Title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Date of Approval</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Staff Notified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Signature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Record this approval in SimpleAML under the AML/CTF Program tab. The approval name, title and date are required as compliance evidence.</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c>
        <w:tcPr>
          <w:tcW w:type="dxa" w:w="6000"/>
          <w:tcBorders>
            <w:top w:val="none" w:sz="0"/>
            <w:left w:val="none" w:sz="0"/>
            <w:bottom w:val="none" w:sz="0"/>
            <w:right w:val="none" w:sz="0"/>
          </w:tcBorders>
          <w:tcMar>
            <w:top w:type="dxa" w:w="80"/>
            <w:left w:type="dxa" w:w="0"/>
            <w:bottom w:type="dxa" w:w="0"/>
            <w:right w:type="dxa" w:w="0"/>
          </w:tcMar>
        </w:tcPr>
        <w:p>
          <w:r>
            <w:rPr>
              <w:rFonts w:ascii="Calibri" w:cs="Calibri" w:eastAsia="Calibri" w:hAnsi="Calibri"/>
              <w:i/>
              <w:iCs/>
              <w:color w:val="ddd9d0"/>
              <w:sz w:val="14"/>
              <w:szCs w:val="14"/>
            </w:rPr>
            <w:t xml:space="preserve">SimpleAML for Conveyancers — conveyancing.simpleaml.com.au</w:t>
          </w:r>
        </w:p>
      </w:tc>
      <w:tc>
        <w:tcPr>
          <w:tcW w:type="dxa" w:w="3026"/>
          <w:tcBorders>
            <w:top w:val="none" w:sz="0"/>
            <w:left w:val="none" w:sz="0"/>
            <w:bottom w:val="none" w:sz="0"/>
            <w:right w:val="none" w:sz="0"/>
          </w:tcBorders>
          <w:tcMar>
            <w:top w:type="dxa" w:w="80"/>
            <w:left w:type="dxa" w:w="0"/>
            <w:bottom w:type="dxa" w:w="0"/>
            <w:right w:type="dxa" w:w="0"/>
          </w:tcMar>
        </w:tcPr>
        <w:p>
          <w:pPr>
            <w:jc w:val="right"/>
          </w:pPr>
          <w:r>
            <w:rPr>
              <w:rFonts w:ascii="Calibri" w:cs="Calibri" w:eastAsia="Calibri" w:hAnsi="Calibri"/>
              <w:color w:val="ddd9d0"/>
              <w:sz w:val="14"/>
              <w:szCs w:val="14"/>
            </w:rPr>
            <w:t xml:space="preserve">Page </w:t>
          </w:r>
          <w:r>
            <w:rPr>
              <w:rFonts w:ascii="Calibri" w:cs="Calibri" w:eastAsia="Calibri" w:hAnsi="Calibri"/>
              <w:color w:val="ddd9d0"/>
              <w:sz w:val="14"/>
              <w:szCs w:val="14"/>
            </w:rPr>
            <w:fldChar w:fldCharType="begin"/>
            <w:instrText xml:space="preserve">PAGE</w:instrText>
            <w:fldChar w:fldCharType="separate"/>
            <w:fldChar w:fldCharType="end"/>
          </w:r>
          <w:r>
            <w:rPr>
              <w:rFonts w:ascii="Calibri" w:cs="Calibri" w:eastAsia="Calibri" w:hAnsi="Calibri"/>
              <w:color w:val="ddd9d0"/>
              <w:sz w:val="14"/>
              <w:szCs w:val="14"/>
            </w:rPr>
            <w:t xml:space="preserve"> of </w:t>
          </w:r>
          <w:r>
            <w:rPr>
              <w:rFonts w:ascii="Calibri" w:cs="Calibri" w:eastAsia="Calibri" w:hAnsi="Calibri"/>
              <w:color w:val="ddd9d0"/>
              <w:sz w:val="14"/>
              <w:szCs w:val="14"/>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none" w:sz="0"/>
            <w:left w:val="none" w:sz="0"/>
            <w:bottom w:val="none" w:sz="0"/>
            <w:right w:val="none" w:sz="0"/>
          </w:tcBorders>
          <w:tcMar>
            <w:top w:type="dxa" w:w="0"/>
            <w:left w:type="dxa" w:w="0"/>
            <w:bottom w:type="dxa" w:w="80"/>
            <w:right w:type="dxa" w:w="0"/>
          </w:tcMar>
        </w:tcPr>
        <w:p>
          <w:r>
            <w:rPr>
              <w:rFonts w:ascii="Calibri" w:cs="Calibri" w:eastAsia="Calibri" w:hAnsi="Calibri"/>
              <w:color w:val="6b6459"/>
              <w:sz w:val="16"/>
              <w:szCs w:val="16"/>
            </w:rPr>
            <w:t xml:space="preserve">AML/CTF Policy Statement (Part A)</w:t>
          </w:r>
        </w:p>
      </w:tc>
      <w:tc>
        <w:tcPr>
          <w:tcW w:type="dxa" w:w="4026"/>
          <w:tcBorders>
            <w:top w:val="none" w:sz="0"/>
            <w:left w:val="none" w:sz="0"/>
            <w:bottom w:val="none" w:sz="0"/>
            <w:right w:val="none" w:sz="0"/>
          </w:tcBorders>
          <w:tcMar>
            <w:top w:type="dxa" w:w="0"/>
            <w:left w:type="dxa" w:w="0"/>
            <w:bottom w:type="dxa" w:w="80"/>
            <w:right w:type="dxa" w:w="0"/>
          </w:tcMar>
        </w:tcPr>
        <w:p>
          <w:pPr>
            <w:jc w:val="right"/>
          </w:pPr>
          <w:r>
            <w:rPr>
              <w:rFonts w:ascii="Calibri" w:cs="Calibri" w:eastAsia="Calibri" w:hAnsi="Calibri"/>
              <w:color w:val="6b6459"/>
              <w:sz w:val="16"/>
              <w:szCs w:val="16"/>
            </w:rPr>
            <w:t xml:space="preserve">[Practice Name]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6b6459"/>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Calibri" w:cs="Calibri" w:eastAsia="Calibri" w:hAnsi="Calibri"/>
      <w:b/>
      <w:bCs/>
      <w:color w:val="0f1117"/>
      <w:sz w:val="28"/>
      <w:szCs w:val="28"/>
    </w:rPr>
  </w:style>
  <w:style w:type="paragraph" w:styleId="Heading2">
    <w:name w:val="Heading 2"/>
    <w:basedOn w:val="Normal"/>
    <w:next w:val="Normal"/>
    <w:qFormat/>
    <w:pPr>
      <w:spacing w:before="240" w:after="80"/>
      <w:outlineLvl w:val="1"/>
    </w:pPr>
    <w:rPr>
      <w:rFonts w:ascii="Calibri" w:cs="Calibri" w:eastAsia="Calibri" w:hAnsi="Calibri"/>
      <w:b/>
      <w:bCs/>
      <w:color w:val="b8965a"/>
      <w:sz w:val="24"/>
      <w:szCs w:val="24"/>
    </w:rPr>
  </w:style>
  <w:style w:type="paragraph" w:styleId="Heading3">
    <w:name w:val="Heading 3"/>
    <w:basedOn w:val="Normal"/>
    <w:next w:val="Normal"/>
    <w:qFormat/>
    <w:pPr>
      <w:spacing w:before="160" w:after="60"/>
      <w:outlineLvl w:val="2"/>
    </w:pPr>
    <w:rPr>
      <w:rFonts w:ascii="Calibri" w:cs="Calibri" w:eastAsia="Calibri" w:hAnsi="Calibri"/>
      <w:b/>
      <w:bCs/>
      <w:color w:val="0f111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2026-03-28T10:49:55.843Z</dcterms:created>
  <dcterms:modified xsi:type="dcterms:W3CDTF">2026-03-28T10:49:55.844Z</dcterms:modified>
</cp:coreProperties>
</file>

<file path=docProps/custom.xml><?xml version="1.0" encoding="utf-8"?>
<Properties xmlns="http://schemas.openxmlformats.org/officeDocument/2006/custom-properties" xmlns:vt="http://schemas.openxmlformats.org/officeDocument/2006/docPropsVTypes"/>
</file>