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 w:after="120"/>
      </w:pPr>
      <w:r>
        <w:rPr>
          <w:rFonts w:ascii="Calibri" w:cs="Calibri" w:eastAsia="Calibri" w:hAnsi="Calibri"/>
          <w:b/>
          <w:bCs/>
          <w:color w:val="b8965a"/>
          <w:spacing w:val="200"/>
          <w:sz w:val="20"/>
          <w:szCs w:val="20"/>
        </w:rPr>
        <w:t xml:space="preserve">SIMPLEAML</w:t>
      </w:r>
    </w:p>
    <w:p>
      <w:pPr>
        <w:pBdr>
          <w:bottom w:val="single" w:color="b8965a" w:sz="8" w:space="6"/>
        </w:pBdr>
        <w:spacing w:before="0" w:after="160"/>
      </w:pPr>
      <w:r>
        <w:rPr>
          <w:rFonts w:ascii="Calibri" w:cs="Calibri" w:eastAsia="Calibri" w:hAnsi="Calibri"/>
          <w:b/>
          <w:bCs/>
          <w:color w:val="0f1117"/>
          <w:sz w:val="48"/>
          <w:szCs w:val="48"/>
        </w:rPr>
        <w:t xml:space="preserve">CDD &amp; Operational Procedures</w:t>
      </w:r>
    </w:p>
    <w:p>
      <w:pPr>
        <w:spacing w:before="120" w:after="80"/>
      </w:pPr>
      <w:r>
        <w:rPr>
          <w:rFonts w:ascii="Calibri" w:cs="Calibri" w:eastAsia="Calibri" w:hAnsi="Calibri"/>
          <w:i/>
          <w:iCs/>
          <w:color w:val="6b6459"/>
          <w:sz w:val="24"/>
          <w:szCs w:val="24"/>
        </w:rPr>
        <w:t xml:space="preserve">Anti-Money Laundering and Counter-Terrorism Financing Program</w:t>
      </w:r>
    </w:p>
    <w:p>
      <w:pPr>
        <w:spacing w:before="0" w:after="400"/>
      </w:pPr>
      <w:r>
        <w:rPr>
          <w:rFonts w:ascii="Calibri" w:cs="Calibri" w:eastAsia="Calibri" w:hAnsi="Calibri"/>
          <w:b/>
          <w:bCs/>
          <w:color w:val="b8965a"/>
          <w:sz w:val="20"/>
          <w:szCs w:val="20"/>
        </w:rPr>
        <w:t xml:space="preserve">Part B — Procedures Document</w:t>
      </w:r>
    </w:p>
    <w:p>
      <w:pPr>
        <w:spacing w:before="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Practice Name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ABN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State / Territory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Conveyancing Licence No.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AMLCO Name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AMLCO Title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Approval Date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Version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Next Review Date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9d0" w:sz="4"/>
              <w:left w:val="single" w:color="b8965a" w:sz="18"/>
              <w:bottom w:val="single" w:color="ddd9d0" w:sz="4"/>
              <w:right w:val="single" w:color="ddd9d0" w:sz="4"/>
            </w:tcBorders>
            <w:shd w:fill="ede8d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0f1117"/>
                <w:sz w:val="19"/>
                <w:szCs w:val="19"/>
              </w:rPr>
              <w:t xml:space="preserve">INSTRUCTIONS: Replace all [bracketed text] with your practice's specific details. Review every section to ensure it accurately reflects how your practice operates. Delete any sections that do not apply. This template must be customised — a generic, unedited template does not constitute a compliant AML/CTF Program.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0" w:after="80"/>
      </w:pPr>
      <w:r>
        <w:rPr>
          <w:rFonts w:ascii="Calibri" w:cs="Calibri" w:eastAsia="Calibri" w:hAnsi="Calibri"/>
          <w:i/>
          <w:iCs/>
          <w:color w:val="ddd9d0"/>
          <w:sz w:val="16"/>
          <w:szCs w:val="16"/>
        </w:rPr>
        <w:t xml:space="preserve">Prepared using SimpleAML for Conveyancers — conveyancing.simpleaml.com.au</w:t>
      </w:r>
    </w:p>
    <w:p>
      <w:pPr>
        <w:spacing w:before="0" w:after="80"/>
      </w:pPr>
      <w:r>
        <w:rPr>
          <w:rFonts w:ascii="Calibri" w:cs="Calibri" w:eastAsia="Calibri" w:hAnsi="Calibri"/>
          <w:i/>
          <w:iCs/>
          <w:color w:val="ddd9d0"/>
          <w:sz w:val="16"/>
          <w:szCs w:val="16"/>
        </w:rPr>
        <w:t xml:space="preserve">Developed by Click Seed Pty Ltd ABN 87 656 256 567. This template is a compliance assistance tool only and does not constitute legal advice.</w:t>
      </w:r>
    </w:p>
    <w:p>
      <w:r>
        <w:br w:type="pag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1. Purpose and Scope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This document is Part B of [Practice Name]'s AML/CTF Program. It sets out the step-by-step operational procedures that all staff must follow when conducting customer due diligence, screening for PEPs and sanctions, handling suspicious matters, and maintaining records.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These procedures apply to all designated conveyancing services provided by the Practice, including purchases, sales, transfers and related body corporate matters.</w:t>
      </w:r>
    </w:p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2. When Does CDD Apply?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CDD must be conducted on every client before the Practice begins to assist with any designated service. There are no exceptions for existing clients, known clients, or low-value transactions.</w:t>
      </w:r>
    </w:p>
    <w:p>
      <w:pPr>
        <w:spacing w:before="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9d0" w:sz="4"/>
              <w:left w:val="single" w:color="b8965a" w:sz="18"/>
              <w:bottom w:val="single" w:color="ddd9d0" w:sz="4"/>
              <w:right w:val="single" w:color="ddd9d0" w:sz="4"/>
            </w:tcBorders>
            <w:shd w:fill="ede8d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0f1117"/>
                <w:sz w:val="19"/>
                <w:szCs w:val="19"/>
              </w:rPr>
              <w:t xml:space="preserve">Key rule: CDD must be completed at engagement — before reviewing contracts, providing any advice, or preparing any documents. Do not begin work on a matter until CDD is complete.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If CDD cannot be completed satisfactorily, the Practice must not proceed with the matter. Refer to the AMLCO for guidance.</w:t>
      </w:r>
    </w:p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3. CDD Timing Rules by Matter Type</w:t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3.1 Sale Matters (acting for the seller)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CDD must be completed at engagement — before assisting the seller with the transaction in any way.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When to conduct CDD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At engagement — before reviewing the contract of sale, providing advice or preparing documents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Who to identify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The seller (and any representative acting on their behalf)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Deadline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Before beginning any work on the matter</w:t>
            </w:r>
          </w:p>
        </w:tc>
      </w:tr>
    </w:tbl>
    <w:p>
      <w:pPr>
        <w:spacing w:before="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3.2 Purchase Matters — Private Treaty (acting for the buyer)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CDD must be completed at engagement, before assisting the buyer. The exchange date acts as the practical outer deadline.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When to conduct CDD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At engagement — before reviewing the contract, providing advice or preparing documents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Who to identify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The buyer (and any representative acting on their behalf)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Practical deadline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Before settlement; exchange date is the outer limit</w:t>
            </w:r>
          </w:p>
        </w:tc>
      </w:tr>
    </w:tbl>
    <w:p>
      <w:pPr>
        <w:spacing w:before="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3.3 Purchase Matters — Auction (acting for the buyer)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Where the buyer is only known after the hammer falls, CDD must be completed as soon as practicable after exchange. Calculate the deadline as follows: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CDD deadline rule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As soon as practicable after exchange of contracts — but before the earlier of: (a) the settlement date, or (b) 28 days after exchange of contracts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Example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Exchange on 5 April, settlement on 2 May (27 days): deadline is 2 May. Settlement on 10 May (35 days): deadline is 3 May (28 days from exchange).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Who to identify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The buyer (and any representative acting on their behalf)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9d0" w:sz="4"/>
              <w:left w:val="single" w:color="b8965a" w:sz="18"/>
              <w:bottom w:val="single" w:color="ddd9d0" w:sz="4"/>
              <w:right w:val="single" w:color="ddd9d0" w:sz="4"/>
            </w:tcBorders>
            <w:shd w:fill="ede8d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0f1117"/>
                <w:sz w:val="19"/>
                <w:szCs w:val="19"/>
              </w:rPr>
              <w:t xml:space="preserve">Use SimpleAML's New Matter form to automatically calculate the auction CDD deadline when you enter the exchange and settlement dates.</w:t>
            </w:r>
          </w:p>
        </w:tc>
      </w:tr>
    </w:tbl>
    <w:p>
      <w:pPr>
        <w:spacing w:before="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3.4 Transfer Matters (family transfers, gifts, estate transfers)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CDD must be completed at engagement, regardless of whether consideration is paid. The absence of a sale price does not exempt the transaction.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When to conduct CDD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At engagement — before assisting with any aspect of the transfer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Who to identify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The client the Practice is acting for (transferor or transferee)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Deadline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 w:val="false"/>
                <w:iCs w:val="false"/>
                <w:color w:val="0f1117"/>
                <w:sz w:val="19"/>
                <w:szCs w:val="19"/>
              </w:rPr>
              <w:t xml:space="preserve">Before beginning any work on the matter</w:t>
            </w:r>
          </w:p>
        </w:tc>
      </w:tr>
    </w:tbl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4. Individual Client Identification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For individual clients, collect and verify the following:</w:t>
      </w:r>
    </w:p>
    <w:p>
      <w:pPr>
        <w:spacing w:before="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4.1 Information to Collect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Full legal name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Date of birth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Residential address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Occupation</w:t>
      </w:r>
    </w:p>
    <w:p>
      <w:pPr>
        <w:spacing w:before="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4.2 Identity Verification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Verify identity using one of the following methods: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In-person: sight the original government-issued photo ID (driver licence or passport)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Electronic verification: use a DVS-connected service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Certified copy: where in-person is not possible, accept a certified copy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Acceptable identity documents include: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Australian driver licence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Australian passport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Foreign passport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Medicare card (secondary only, combined with another document)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Other government-issued photo ID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Record the document type, verification method and date in the client's CDD record.</w:t>
      </w:r>
    </w:p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5. Company Client Identification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For company clients, collect and verify the following: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Full registered company name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ACN (verify on ASIC Connect at connectonline.asic.gov.au)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Also identify and verify each director and each beneficial owner (person holding 25% or more of shares) as if they were an individual client (see Section 4).</w:t>
      </w:r>
    </w:p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6. Trust Client Identification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For trust clients, collect and verify the following: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Trust name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Trust deed (obtain a copy)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Name of the appointor (person with power to remove trustees)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Names of beneficiaries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Also identify and verify each trustee as if they were an individual or company client (see Sections 4 and 5 as applicable).</w:t>
      </w:r>
    </w:p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7. SMSF Client Identification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For SMSF clients, collect and verify the following: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Fund name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ABN (verify on the ABR at abr.business.gov.au)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Trustee type (individual trustees or corporate trustee)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For individual trustees: identify and verify each trustee as an individual (Section 4).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For corporate trustee: identify and verify the corporate trustee as a company (Section 5), including all directors.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Also identify and verify all fund members as individuals (Section 4).</w:t>
      </w:r>
    </w:p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8. PEP and Sanctions Screening</w:t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8.1 PEP Screening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Screen every individual client (and any beneficial owners, directors and trustees) against PEP lists at or before engagement. Determine whether the client is: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Not a PEP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 domestic PEP (holds or has held a prominent public function in Australia)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 foreign PEP (holds or has held a prominent public function in another country)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 PEP associate or family member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If the client is a PEP, escalate to the AMLCO immediately. PEP clients may require enhanced CDD.</w:t>
      </w:r>
    </w:p>
    <w:p>
      <w:pPr>
        <w:spacing w:before="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8.2 Sanctions Screening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Screen every individual client against the DFAT Consolidated List at or before engagement. Check at dfat.gov.au/international-relations/security/sanctions.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If a match is found, do not proceed with the matter. Refer immediately to the AMLCO and seek legal advice. Dealing with a sanctioned person may be a criminal offence.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Record the outcome of both checks (PEP and sanctions) and the date checked in the client's CDD record.</w:t>
      </w:r>
    </w:p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9. Trust Account Controls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9d0" w:sz="4"/>
              <w:left w:val="single" w:color="b8965a" w:sz="18"/>
              <w:bottom w:val="single" w:color="ddd9d0" w:sz="4"/>
              <w:right w:val="single" w:color="ddd9d0" w:sz="4"/>
            </w:tcBorders>
            <w:shd w:fill="ede8d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0f1117"/>
                <w:sz w:val="19"/>
                <w:szCs w:val="19"/>
              </w:rPr>
              <w:t xml:space="preserve">Complete this section only if the Practice holds a trust account. Delete if not applicable.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The Practice holds a trust account and has implemented the following ML/TF controls: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All trust receipts are reconciled daily against the trust ledger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The Practice does not accept cash deposits into the trust account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Third-party deposits (funds received from a person other than the client) are flagged and investigated before the transaction proceeds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For large or unusual trust deposits, the AMLCO will conduct a source-of-funds check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[Add any additional trust account controls specific to your practice]</w:t>
      </w:r>
    </w:p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10. Risk Assessment and Enhanced CDD</w:t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10.1 Standard Risk Assessment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For each matter, the Practice will assess the ML/TF risk of the client as Low, Medium or High, taking into account: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The client's country of residence (foreign clients carry higher risk)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Whether the client is a PEP or PEP associate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The entity type (individuals carry lower risk than companies, trusts or SMSFs)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The property type and value (commercial and high-value properties carry higher risk)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The funding source (overseas funds, large cash components carry higher risk)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Any red flags identified during the matter</w:t>
      </w:r>
    </w:p>
    <w:p>
      <w:pPr>
        <w:spacing w:before="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10.2 Enhanced CDD (EDD) for High-Risk Clients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If a client is assessed as high risk, the following additional steps are required: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Collect source of funds information: how the purchase will be funded, with supporting documentation where possible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Collect source of wealth information: how the client acquired the funds used in this transaction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Conduct an adverse media / open source check: search for any adverse public information about the client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Obtain written AMLCO approval before proceeding with the matter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High-risk matters must not proceed without AMLCO approval. Record the AMLCO approval (name, date and basis) in the matter's CDD record.</w:t>
      </w:r>
    </w:p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11. Red Flag Indicators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The following circumstances should prompt the conveyancer to pause, escalate to the AMLCO, and consider whether an SMR is required: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Unusually complex or unexplained ownership structures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Client reluctant to provide identification or provides inconsistent information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Transaction price significantly above or below market value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Client appears to be acting on behalf of an undisclosed third party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Funds received from an unexpected or unexplained third party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Large cash components or unusual payment methods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Client in or connected to a sanctioned or FATF high-risk jurisdiction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Transaction speed or urgency inconsistent with normal conveyancing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[Add any red flags specific to your practice or client base]</w:t>
      </w:r>
    </w:p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12. Suspicious Matter Reports (SMRs)</w:t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12.1 When to File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File an SMR with AUSTRAC if you have reasonable grounds to suspect that a transaction or proposed transaction: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Involves proceeds of crime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Is connected to money laundering or terrorism financing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Involves a person subject to sanctions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You do not need to be certain — reasonable suspicion is the threshold. If in doubt, file.</w:t>
      </w:r>
    </w:p>
    <w:p>
      <w:pPr>
        <w:spacing w:before="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12.2 How to File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Notify the AMLCO immediately upon forming a suspicion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Do not disclose the suspicion to the client (tipping-off prohibition — s.123 AML/CTF Act)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Gather and preserve all relevant documents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File the SMR through AUSTRAC Online at online.austrac.gov.au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Record the SMR reference number in the matter file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Seek legal advice about whether to proceed with the transaction</w:t>
      </w:r>
    </w:p>
    <w:p>
      <w:pPr>
        <w:spacing w:before="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Calibri" w:cs="Calibri" w:eastAsia="Calibri" w:hAnsi="Calibri"/>
          <w:b/>
          <w:bCs/>
          <w:color w:val="b8965a"/>
          <w:sz w:val="24"/>
          <w:szCs w:val="24"/>
        </w:rPr>
        <w:t xml:space="preserve">12.3 Tipping Off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9d0" w:sz="4"/>
              <w:left w:val="single" w:color="b8965a" w:sz="18"/>
              <w:bottom w:val="single" w:color="ddd9d0" w:sz="4"/>
              <w:right w:val="single" w:color="ddd9d0" w:sz="4"/>
            </w:tcBorders>
            <w:shd w:fill="ede8d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0f1117"/>
                <w:sz w:val="19"/>
                <w:szCs w:val="19"/>
              </w:rPr>
              <w:t xml:space="preserve">IMPORTANT: It is a criminal offence to tell any person (including the client) that an SMR has been filed or is being considered. Penalties include up to 2 years imprisonment. If in doubt, say nothing and seek legal advice.</w:t>
            </w:r>
          </w:p>
        </w:tc>
      </w:tr>
    </w:tbl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13. Record Keeping</w:t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The Practice will retain the following records for a minimum of 7 years: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All client CDD records (identification, verification, PEP and sanctions checks)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All matter records, including transaction details and risk assessments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All staff vetting records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All training records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All AML/CTF Program documents and version history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Calibri" w:cs="Calibri" w:eastAsia="Calibri" w:hAnsi="Calibri"/>
          <w:color w:val="6b6459"/>
          <w:sz w:val="20"/>
          <w:szCs w:val="20"/>
        </w:rPr>
        <w:t xml:space="preserve">All SMR records (including decisions not to file)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9"/>
          <w:sz w:val="20"/>
          <w:szCs w:val="20"/>
        </w:rPr>
        <w:t xml:space="preserve">Records are maintained in SimpleAML (browser localStorage). Regular backups must be exported using the app's Export function and stored securely. AUSTRAC requires access to records on request.</w:t>
      </w:r>
    </w:p>
    <w:p>
      <w:pPr>
        <w:spacing w:before="0" w:after="60"/>
      </w:pPr>
      <w:r>
        <w:t xml:space="preserve"/>
      </w:r>
    </w:p>
    <w:p>
      <w:pPr>
        <w:pStyle w:val="Heading1"/>
        <w:pBdr>
          <w:bottom w:val="single" w:color="b8965a" w:sz="6" w:space="4"/>
        </w:pBdr>
        <w:spacing w:before="320" w:after="120"/>
      </w:pPr>
      <w:r>
        <w:rPr>
          <w:rFonts w:ascii="Calibri" w:cs="Calibri" w:eastAsia="Calibri" w:hAnsi="Calibri"/>
          <w:b/>
          <w:bCs/>
          <w:color w:val="0f1117"/>
          <w:sz w:val="28"/>
          <w:szCs w:val="28"/>
        </w:rPr>
        <w:t xml:space="preserve">14. Approval</w:t>
      </w:r>
    </w:p>
    <w:p>
      <w:pPr>
        <w:spacing w:before="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Approved By (Full Name)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Title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Date of Approval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  <w:tr>
        <w:tc>
          <w:tcPr>
            <w:tcW w:type="dxa" w:w="3000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shd w:fill="f5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b6459"/>
                <w:sz w:val="18"/>
                <w:szCs w:val="18"/>
              </w:rPr>
              <w:t xml:space="preserve">Signature</w:t>
            </w:r>
          </w:p>
        </w:tc>
        <w:tc>
          <w:tcPr>
            <w:tcW w:type="dxa" w:w="6026"/>
            <w:tcBorders>
              <w:top w:val="single" w:color="ddd9d0" w:sz="4"/>
              <w:left w:val="single" w:color="ddd9d0" w:sz="4"/>
              <w:bottom w:val="single" w:color="ddd9d0" w:sz="4"/>
              <w:right w:val="single" w:color="ddd9d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b6459"/>
                <w:sz w:val="19"/>
                <w:szCs w:val="19"/>
              </w:rPr>
              <w:t xml:space="preserve">[To be completed]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02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000"/>
      <w:gridCol w:w="3026"/>
    </w:tblGrid>
    <w:tr>
      <w:tc>
        <w:tcPr>
          <w:tcW w:type="dxa" w:w="6000"/>
          <w:tcBorders>
            <w:top w:val="none" w:sz="0"/>
            <w:left w:val="none" w:sz="0"/>
            <w:bottom w:val="none" w:sz="0"/>
            <w:right w:val="none" w:sz="0"/>
          </w:tcBorders>
          <w:tcMar>
            <w:top w:type="dxa" w:w="80"/>
            <w:left w:type="dxa" w:w="0"/>
            <w:bottom w:type="dxa" w:w="0"/>
            <w:right w:type="dxa" w:w="0"/>
          </w:tcMar>
        </w:tcPr>
        <w:p>
          <w:r>
            <w:rPr>
              <w:rFonts w:ascii="Calibri" w:cs="Calibri" w:eastAsia="Calibri" w:hAnsi="Calibri"/>
              <w:i/>
              <w:iCs/>
              <w:color w:val="ddd9d0"/>
              <w:sz w:val="14"/>
              <w:szCs w:val="14"/>
            </w:rPr>
            <w:t xml:space="preserve">SimpleAML for Conveyancers — conveyancing.simpleaml.com.au</w:t>
          </w:r>
        </w:p>
      </w:tc>
      <w:tc>
        <w:tcPr>
          <w:tcW w:type="dxa" w:w="3026"/>
          <w:tcBorders>
            <w:top w:val="none" w:sz="0"/>
            <w:left w:val="none" w:sz="0"/>
            <w:bottom w:val="none" w:sz="0"/>
            <w:right w:val="none" w:sz="0"/>
          </w:tcBorders>
          <w:tcMar>
            <w:top w:type="dxa" w:w="80"/>
            <w:left w:type="dxa" w:w="0"/>
            <w:bottom w:type="dxa" w:w="0"/>
            <w:right w:type="dxa" w:w="0"/>
          </w:tcMar>
        </w:tcPr>
        <w:p>
          <w:pPr>
            <w:jc w:val="right"/>
          </w:pPr>
          <w:r>
            <w:rPr>
              <w:rFonts w:ascii="Calibri" w:cs="Calibri" w:eastAsia="Calibri" w:hAnsi="Calibri"/>
              <w:color w:val="ddd9d0"/>
              <w:sz w:val="14"/>
              <w:szCs w:val="14"/>
            </w:rPr>
            <w:t xml:space="preserve">Page </w:t>
          </w:r>
          <w:r>
            <w:rPr>
              <w:rFonts w:ascii="Calibri" w:cs="Calibri" w:eastAsia="Calibri" w:hAnsi="Calibri"/>
              <w:color w:val="ddd9d0"/>
              <w:sz w:val="14"/>
              <w:szCs w:val="14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Calibri" w:cs="Calibri" w:eastAsia="Calibri" w:hAnsi="Calibri"/>
              <w:color w:val="ddd9d0"/>
              <w:sz w:val="14"/>
              <w:szCs w:val="14"/>
            </w:rPr>
            <w:t xml:space="preserve"> of </w:t>
          </w:r>
          <w:r>
            <w:rPr>
              <w:rFonts w:ascii="Calibri" w:cs="Calibri" w:eastAsia="Calibri" w:hAnsi="Calibri"/>
              <w:color w:val="ddd9d0"/>
              <w:sz w:val="14"/>
              <w:szCs w:val="14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000"/>
      <w:gridCol w:w="4026"/>
    </w:tblGrid>
    <w:tr>
      <w:tc>
        <w:tcPr>
          <w:tcW w:type="dxa" w:w="5000"/>
          <w:tcBorders>
            <w:top w:val="none" w:sz="0"/>
            <w:left w:val="none" w:sz="0"/>
            <w:bottom w:val="none" w:sz="0"/>
            <w:right w:val="none" w:sz="0"/>
          </w:tcBorders>
          <w:tcMar>
            <w:top w:type="dxa" w:w="0"/>
            <w:left w:type="dxa" w:w="0"/>
            <w:bottom w:type="dxa" w:w="80"/>
            <w:right w:type="dxa" w:w="0"/>
          </w:tcMar>
        </w:tcPr>
        <w:p>
          <w:r>
            <w:rPr>
              <w:rFonts w:ascii="Calibri" w:cs="Calibri" w:eastAsia="Calibri" w:hAnsi="Calibri"/>
              <w:color w:val="6b6459"/>
              <w:sz w:val="16"/>
              <w:szCs w:val="16"/>
            </w:rPr>
            <w:t xml:space="preserve">CDD Procedures (Part B)</w:t>
          </w:r>
        </w:p>
      </w:tc>
      <w:tc>
        <w:tcPr>
          <w:tcW w:type="dxa" w:w="4026"/>
          <w:tcBorders>
            <w:top w:val="none" w:sz="0"/>
            <w:left w:val="none" w:sz="0"/>
            <w:bottom w:val="none" w:sz="0"/>
            <w:right w:val="none" w:sz="0"/>
          </w:tcBorders>
          <w:tcMar>
            <w:top w:type="dxa" w:w="0"/>
            <w:left w:type="dxa" w:w="0"/>
            <w:bottom w:type="dxa" w:w="80"/>
            <w:right w:type="dxa" w:w="0"/>
          </w:tcMar>
        </w:tcPr>
        <w:p>
          <w:pPr>
            <w:jc w:val="right"/>
          </w:pPr>
          <w:r>
            <w:rPr>
              <w:rFonts w:ascii="Calibri" w:cs="Calibri" w:eastAsia="Calibri" w:hAnsi="Calibri"/>
              <w:color w:val="6b6459"/>
              <w:sz w:val="16"/>
              <w:szCs w:val="16"/>
            </w:rPr>
            <w:t xml:space="preserve">[Practice Name] — CONFIDENTIAL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lowerLetter"/>
      <w:lvlText w:val="%2.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6b645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Calibri" w:cs="Calibri" w:eastAsia="Calibri" w:hAnsi="Calibri"/>
      <w:b/>
      <w:bCs/>
      <w:color w:val="0f1117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Calibri" w:cs="Calibri" w:eastAsia="Calibri" w:hAnsi="Calibri"/>
      <w:b/>
      <w:bCs/>
      <w:color w:val="b8965a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60"/>
      <w:outlineLvl w:val="2"/>
    </w:pPr>
    <w:rPr>
      <w:rFonts w:ascii="Calibri" w:cs="Calibri" w:eastAsia="Calibri" w:hAnsi="Calibri"/>
      <w:b/>
      <w:bCs/>
      <w:color w:val="0f111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2026-03-28T10:49:55.856Z</dcterms:created>
  <dcterms:modified xsi:type="dcterms:W3CDTF">2026-03-28T10:49:55.856Z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